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tbl>
      <w:tblPr>
        <w:tblInd w:w="113" w:type="dxa"/>
      </w:tblPr>
      <w:tblGrid>
        <w:gridCol w:w="1721"/>
        <w:gridCol w:w="2462"/>
        <w:gridCol w:w="2463"/>
        <w:gridCol w:w="2004"/>
        <w:gridCol w:w="2445"/>
        <w:gridCol w:w="2463"/>
        <w:gridCol w:w="2463"/>
      </w:tblGrid>
      <w:tr>
        <w:trPr>
          <w:trHeight w:val="480" w:hRule="auto"/>
          <w:jc w:val="left"/>
        </w:trPr>
        <w:tc>
          <w:tcPr>
            <w:tcW w:w="1721" w:type="dxa"/>
            <w:vMerge w:val="restart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tabs>
                <w:tab w:val="left" w:pos="9088" w:leader="none"/>
              </w:tabs>
              <w:spacing w:before="0" w:after="120" w:line="276"/>
              <w:ind w:right="-346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</w:t>
            </w:r>
          </w:p>
          <w:p>
            <w:pPr>
              <w:tabs>
                <w:tab w:val="left" w:pos="9088" w:leader="none"/>
              </w:tabs>
              <w:spacing w:before="0" w:after="120" w:line="276"/>
              <w:ind w:right="-346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tabs>
                <w:tab w:val="left" w:pos="9088" w:leader="none"/>
              </w:tabs>
              <w:spacing w:before="0" w:after="120" w:line="276"/>
              <w:ind w:right="-346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2025/2026</w:t>
            </w:r>
          </w:p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  <w:t xml:space="preserve">temat lekcji</w:t>
            </w:r>
          </w:p>
        </w:tc>
        <w:tc>
          <w:tcPr>
            <w:tcW w:w="6929" w:type="dxa"/>
            <w:gridSpan w:val="3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371" w:type="dxa"/>
            <w:gridSpan w:val="3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  <w:t xml:space="preserve">Wymagania ponadpodstawowe</w:t>
            </w:r>
          </w:p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  <w:t xml:space="preserve">Ucze</w:t>
            </w:r>
            <w:r>
              <w:rPr>
                <w:rFonts w:ascii="Calibri" w:hAnsi="Calibri" w:cs="Calibri" w:eastAsia="Calibri"/>
                <w:b/>
                <w:caps w:val="true"/>
                <w:color w:val="FFFFFF"/>
                <w:spacing w:val="0"/>
                <w:position w:val="0"/>
                <w:sz w:val="20"/>
                <w:shd w:fill="auto" w:val="clear"/>
              </w:rPr>
              <w:t xml:space="preserve">ń:</w:t>
            </w:r>
          </w:p>
        </w:tc>
      </w:tr>
      <w:tr>
        <w:trPr>
          <w:trHeight w:val="252" w:hRule="auto"/>
          <w:jc w:val="left"/>
        </w:trPr>
        <w:tc>
          <w:tcPr>
            <w:tcW w:w="1721" w:type="dxa"/>
            <w:vMerge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462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Ocena dopuszczaj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ąca</w:t>
            </w:r>
          </w:p>
        </w:tc>
        <w:tc>
          <w:tcPr>
            <w:tcW w:w="4467" w:type="dxa"/>
            <w:gridSpan w:val="2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Ocena dostateczna</w:t>
            </w:r>
          </w:p>
        </w:tc>
        <w:tc>
          <w:tcPr>
            <w:tcW w:w="2445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Ocena dobra</w:t>
            </w:r>
          </w:p>
        </w:tc>
        <w:tc>
          <w:tcPr>
            <w:tcW w:w="2463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Ocena bardzo dobra</w:t>
            </w:r>
          </w:p>
        </w:tc>
        <w:tc>
          <w:tcPr>
            <w:tcW w:w="2463" w:type="dxa"/>
            <w:tcBorders>
              <w:top w:val="single" w:color="ffffff" w:sz="4"/>
              <w:left w:val="single" w:color="ffffff" w:sz="4"/>
              <w:bottom w:val="single" w:color="ffffff" w:sz="4"/>
              <w:right w:val="single" w:color="ffffff" w:sz="4"/>
            </w:tcBorders>
            <w:shd w:color="f39200" w:fill="auto" w:val="clear"/>
            <w:tcMar>
              <w:left w:w="112" w:type="dxa"/>
              <w:right w:w="112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Ocena celuj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4"/>
                <w:shd w:fill="auto" w:val="clear"/>
              </w:rPr>
              <w:t xml:space="preserve">ąca</w:t>
            </w:r>
          </w:p>
        </w:tc>
      </w:tr>
      <w:tr>
        <w:trPr>
          <w:trHeight w:val="60" w:hRule="auto"/>
          <w:jc w:val="left"/>
        </w:trPr>
        <w:tc>
          <w:tcPr>
            <w:tcW w:w="16021" w:type="dxa"/>
            <w:gridSpan w:val="7"/>
            <w:tcBorders>
              <w:top w:val="single" w:color="273582" w:sz="6"/>
              <w:left w:val="single" w:color="273582" w:sz="6"/>
              <w:bottom w:val="single" w:color="273582" w:sz="6"/>
              <w:right w:val="single" w:color="000000" w:sz="6"/>
            </w:tcBorders>
            <w:shd w:color="273582" w:fill="auto" w:val="clear"/>
            <w:tcMar>
              <w:left w:w="112" w:type="dxa"/>
              <w:right w:w="11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Rok szkolny 2025/2026 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Wymagania edukacyje z biologii klasa 6 na ocen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ę : celujacy, bardzo dobry, dobry, dostateczny, mierny, niedostateczny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ANKI ZWIERZĘCE. PARZYDEŁKOWCE, PŁAZIŃCE I NICIENIE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273582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1. Ogólna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charakterystyka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zwierz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2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zwierząt żyjących w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żnych środowiskach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charakterystyczne cechy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4449" w:type="dxa"/>
            <w:gridSpan w:val="2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ówne grupy bezkr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 kr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najwa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żniejsze cechy bezkręgowc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kr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tryb życia wybranych przedstawicieli zwierząt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symetrii ciała z trybem życia zwierząt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2. Tkanki zwierz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ęce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nab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łonkowa i łączna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śla, co to jest tkanka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tkanki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ęce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funkcje tkanki nabłonkowej i łącznej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tkanki nabłonkowej i łącznej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dokonuje obserwacji mikroskopowej tkanki nab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łonkowej lub łącznej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w budowie tkanki nab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łonkowej i tkanek łącznych cechy adaptacyjne do pełnienia określonych funkcji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tkank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nabłonkową, chrzęstną, kostną i krew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tkank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nabłonkową i łączną pod względem budowy, funkcji i położenia w organizmach zwierzęcych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3. Tkanki zwierz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ęce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mi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ęśniowa i nerwowa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rodzaje tkanki mi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ęśniowej i podaje ich funkcje</w:t>
            </w:r>
          </w:p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rolę tkanki nerwowej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neuronu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dokonuje obserwacji mikroskopowej tkanki mi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ęśniowej lub nerwowej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budowy tkanki mięśniowej z funkcją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cechy adaptacyjne w budowie tkanki nerwowej do pe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łnionych funkcji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tkanki mi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ęśniowe i tkankę nerwową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tkank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mięśniową i nerwową pod względem budowy, funkcji i położenia w organizmach zwierzęcych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4. Charakterystyka,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przegl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ąd i znaczenie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parzyde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łkowc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parzydełkowc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zaklasyfikowanie organizmu do parzydełkowc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znaczenie parzyde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 tryb życia polipa i meduzy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identyfikuje nieznany organizm jako przedstawiciela parzyde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podstawie charakterystycznych cech tej grupy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sposoby rozmnażania się polipa oraz meduzy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krótko charakteryzuje stu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łbiopławy, krążkopławy i koralowce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5. Charakterystyka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łazińc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ów. 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łazińce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paso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żytnicze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płazińc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zaklasyfikowanie organizmu do płazińc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sposoby zarażenia się tasiemcem uzbrojonym i nieuzbrojonym oraz zasady profilaktyki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znaczenie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</w:t>
            </w:r>
          </w:p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przystosowania tasiemca uzbrojonego i nieuzbrojonego do paso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żytniczego trybu życia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identyfikuje nieznany organizm jako przedstawiciela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podstawie charakterystycznych</w:t>
            </w:r>
          </w:p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cech tej grupy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prawid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łowo stosuje określenia: żywiciel ostateczny, żywiciel pośredni, larwa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środowisko oraz tryb życia płazińc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parzyde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258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6. Charakterystyka nicieni. Nicienie paso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żytnicze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nicieni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zaklasyfikowanie organizmu do nicieni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sposoby zarażenia się glistą, owsikiem i włośniem oraz zasady profilaktyki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znaczenie nicieni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identyfikuje nieznany organizm jako przedstawiciela nicieni na podstawie charakterystycznych cech tej grupy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miejsce bytowania nicieni pasożytniczych (glista, owsik, włosień) w organizmie człowieka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środowisko i tryb życia nicieni i płazińc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7. Podsumowanie dzia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</w:t>
            </w:r>
          </w:p>
        </w:tc>
        <w:tc>
          <w:tcPr>
            <w:tcW w:w="143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wszystkie wymagania z lekcji 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</w:tr>
      <w:tr>
        <w:trPr>
          <w:trHeight w:val="60" w:hRule="auto"/>
          <w:jc w:val="left"/>
        </w:trPr>
        <w:tc>
          <w:tcPr>
            <w:tcW w:w="16021" w:type="dxa"/>
            <w:gridSpan w:val="7"/>
            <w:tcBorders>
              <w:top w:val="single" w:color="273582" w:sz="6"/>
              <w:left w:val="single" w:color="273582" w:sz="6"/>
              <w:bottom w:val="single" w:color="273582" w:sz="6"/>
              <w:right w:val="single" w:color="000000" w:sz="6"/>
            </w:tcBorders>
            <w:shd w:color="273582" w:fill="auto" w:val="clear"/>
            <w:tcMar>
              <w:left w:w="112" w:type="dxa"/>
              <w:right w:w="11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DZIA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Ł 2. 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PIERŚCIENICE, STAWONOGI, MIĘCZAKI</w:t>
            </w:r>
          </w:p>
        </w:tc>
      </w:tr>
      <w:tr>
        <w:trPr>
          <w:trHeight w:val="165" w:hRule="auto"/>
          <w:jc w:val="left"/>
        </w:trPr>
        <w:tc>
          <w:tcPr>
            <w:tcW w:w="1721" w:type="dxa"/>
            <w:tcBorders>
              <w:top w:val="single" w:color="273582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8. Charakterystyka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pier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ścienic</w:t>
            </w:r>
          </w:p>
        </w:tc>
        <w:tc>
          <w:tcPr>
            <w:tcW w:w="2462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pierścienic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pierścienic w przyrodzie i dla człowieka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ówne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pierścienic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żnice w budowie zewnętrznej dżdżownicy, pijawki i nereidy</w:t>
            </w:r>
          </w:p>
        </w:tc>
        <w:tc>
          <w:tcPr>
            <w:tcW w:w="4449" w:type="dxa"/>
            <w:gridSpan w:val="2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w typie pierścienice mimo podobieństw w budowie zewnętrznej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pier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ścienic na podstawie zaobserwowanych cech budowy zewnętrznej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związek między zaobserwowanymi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żnicami w budowie pierścienic a środowiskiem i trybem życia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planuje do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świadczenie, w kt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órym 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żna udowodnić wpływ dżdżownic na mieszanie gleby</w:t>
            </w:r>
          </w:p>
        </w:tc>
      </w:tr>
      <w:tr>
        <w:trPr>
          <w:trHeight w:val="1755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9. Charakterystyka stawonogów. Skorupiaki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stawonog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skorupiak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ówne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stawonog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skorupiakom opanowanie środowiska wodnego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zewnętrznej skorupiak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stawonoga na podstawie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czynno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życiowe skorupiak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ów: poruszanie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odżywianie się, oddychanie, rozmnażanie się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skorupiaków na podstawie zaobserwowanych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związek między zaobserwowanymi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żnicami w budowie skorupiak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środowiskiem i trybem życia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10. Owady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organizmy typowo l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ądowe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i tryb życia owad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owad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 (owady pożyteczne i owady szkodniki)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owadom opanowanie środowiska lądowego oraz aktywny lot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aparat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ębowych oraz odn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 owad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odniesieniu do trybu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życia i rodzaju pobieranego pokarmu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owadów na podstawie zaobserwowanych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czynno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życiowe owad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ów: poruszanie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odżywianie się, oddychanie, rozmnażanie się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dwa typy rozwoju 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łożonego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 z przeobra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żeniem zupełnym i niezupełnym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oraz czynności życiowe owad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skorupiaków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11. Charakterystyka paj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ęczak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środowisko i tryb życia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wspólne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zewnętrznej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zdolno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ść większości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do wysnuwania nici i 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zastosowania tych nici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czynno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życiowe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 uwzgl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ędnieniem odżywiania się, oddychania, rozmnażania się.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paj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podstawie zaobserwowanych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oraz czynności życiowe pajęczak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owadów i skorupiaków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12. Mi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ęczaki. Charakterystyka ślimak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środowisk zamieszkiwanych przez mięczaki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tryb życia 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znaczenie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ówne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mięczak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wspólne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mięczakom opanowanie środowiska wodnego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podstawie zaobserwowanych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czynno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życiowe 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ów: poruszanie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odżywianie się, oddychanie, rozmnażanie się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zewnętrznej 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uwzgl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ędnia kształt nogi oraz obecność muszli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13. Ma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łże i głowonogi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charakterystyka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środowisko i tryb życia małży i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małży i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małży i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umożliwiające małżom i głowonogom przystosowanie do życia w środowisku wodnym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ów, uwzgl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ędnia liczbę ramion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klasyfikuje nieznany organizm jako przedstawiciela ma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łży lub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podstawie zaobserwowanych cech budowy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czynno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życiowe małży i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ów: poruszanie si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ę, odżywianie się, oddychanie, rozmnażanie się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i czynności życiowe małży, głowonog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oraz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ślimak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łatwiające głowonogom aktywne polowanie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14. Podsumowanie dzia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</w:t>
            </w:r>
          </w:p>
        </w:tc>
        <w:tc>
          <w:tcPr>
            <w:tcW w:w="143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wszystkie wymagania z lekcji 8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</w:tr>
      <w:tr>
        <w:trPr>
          <w:trHeight w:val="60" w:hRule="auto"/>
          <w:jc w:val="left"/>
        </w:trPr>
        <w:tc>
          <w:tcPr>
            <w:tcW w:w="16021" w:type="dxa"/>
            <w:gridSpan w:val="7"/>
            <w:tcBorders>
              <w:top w:val="single" w:color="273582" w:sz="6"/>
              <w:left w:val="single" w:color="273582" w:sz="6"/>
              <w:bottom w:val="single" w:color="273582" w:sz="6"/>
              <w:right w:val="single" w:color="000000" w:sz="6"/>
            </w:tcBorders>
            <w:shd w:color="273582" w:fill="auto" w:val="clear"/>
            <w:tcMar>
              <w:left w:w="112" w:type="dxa"/>
              <w:right w:w="11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Dzia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ł 3 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RYBY, PŁAZY, GADY</w:t>
            </w:r>
          </w:p>
        </w:tc>
      </w:tr>
      <w:tr>
        <w:trPr>
          <w:trHeight w:val="1462" w:hRule="auto"/>
          <w:jc w:val="left"/>
        </w:trPr>
        <w:tc>
          <w:tcPr>
            <w:tcW w:w="1721" w:type="dxa"/>
            <w:tcBorders>
              <w:top w:val="single" w:color="273582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15. Ryby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środowisko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życia i cechy budowy</w:t>
            </w:r>
          </w:p>
        </w:tc>
        <w:tc>
          <w:tcPr>
            <w:tcW w:w="2462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gromady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 zaliczanych do kręgowc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środowisko życia ryb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ryby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charakterystyczne cechy kr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ryb kostnoszkieletowych i chrzęstnoszkieletowych oraz wskazuje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żnicę w ich budowie</w:t>
            </w:r>
          </w:p>
        </w:tc>
        <w:tc>
          <w:tcPr>
            <w:tcW w:w="4449" w:type="dxa"/>
            <w:gridSpan w:val="2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śnia, co to jest zmiennocieplność i określa ryby jako zwierzęta zmiennocieplne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wspólne cechy ryb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uzasadnia przynale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żność ryb do kręgowc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przystosowania ryb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budowy i czynności życiowych do życia w wodzie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śnia funkcjonowanie pęcherza pławnego i skrzeli</w:t>
            </w:r>
          </w:p>
        </w:tc>
      </w:tr>
      <w:tr>
        <w:trPr>
          <w:trHeight w:val="1326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16. Rozmna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żanie się i rozw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ój. Ró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żnorodność ryb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sposób rozmna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żania się i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ój ryb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znaczenie ryb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gatunk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ryb chronionych w Polsce i uzasadnia potrzeb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ochrony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działań człowieka wpływających pozytywnie i negatywnie na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ryb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wykazuje,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ładach,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budowy zewnętrznej ryb związanej z trybem życia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żnice między jajorodnością a jajożyworodnością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i jedność ryb w obrębie gromady</w:t>
            </w:r>
          </w:p>
        </w:tc>
      </w:tr>
      <w:tr>
        <w:trPr>
          <w:trHeight w:val="332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17. P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łazy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środowisko życia i cechy budowy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życia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i tryb życia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płazy jako zwierzęta zmiennocieplne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ogoniastych i bezogonowych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wspólne cechy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budowy i czynności życiowych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środowiskiem wodno</w:t>
            </w:r>
            <w:r>
              <w:rPr>
                <w:rFonts w:ascii="MS Gothic" w:hAnsi="MS Gothic" w:cs="MS Gothic" w:eastAsia="MS Gothic"/>
                <w:color w:val="000000"/>
                <w:spacing w:val="0"/>
                <w:position w:val="0"/>
                <w:sz w:val="20"/>
                <w:shd w:fill="auto" w:val="clear"/>
              </w:rPr>
              <w:t xml:space="preserve">‑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ądowym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ływ zmiennocieplności na zasięg występowania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2472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18. Rozmna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żanie się i rozw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ój. Ró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żnorodność płaz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sposób rozmna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żania się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znaczenie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gatunk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chronionych w Polsce i uzasadnia potrzeb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ochrony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etapy rozwoju 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ładzie żaby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działań człowieka wpływających pozytywnie i negatywnie na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płaz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budowy zewnętrznej i trybu życia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zewnętrzną i tryb życia kijanki oraz postaci dorosłej żaby</w:t>
            </w:r>
          </w:p>
        </w:tc>
      </w:tr>
      <w:tr>
        <w:trPr>
          <w:trHeight w:val="923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19. Gady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środowisko życia i cechy budowy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życia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gady jako zwierzęta zmiennocieplne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na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ładzie jaszczurki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wspólne cechy gadów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przystosowania gadów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budowy i czynności życiowych do życia na lądzie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wp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ływ zmiennocieplności na zasięg występowania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narz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ądy zmysł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gadów i 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ich znaczenie w życiu na lądzie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budowy i czynności życiowych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życiem na lądzie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20. Rozmna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żanie się i rozw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ój. Ró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żnorodność gad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sposób rozmna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żania się i rozwoju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znaczenie gadów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gady jako owodniowce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śnia znaczenie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przyrodzie i dla cz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łowieka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gatunk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gadów chronionych w Polsce i uzasadnia potrzeb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ochrony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działań człowieka wpływających pozytywnie i negatywnie na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funkcje poszczególnych 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łon płodowych w rozwoju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wykazuje,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ładach,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gad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budowy zewnętrznej i trybu życia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uzasadnia,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że wytworzenie błon płodowych uniezależnia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ój gadów od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wodnego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21. Podsumowanie dzia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</w:t>
            </w:r>
          </w:p>
        </w:tc>
        <w:tc>
          <w:tcPr>
            <w:tcW w:w="143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wszystkie wymagania z lekcji 15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60" w:hRule="auto"/>
          <w:jc w:val="left"/>
        </w:trPr>
        <w:tc>
          <w:tcPr>
            <w:tcW w:w="16021" w:type="dxa"/>
            <w:gridSpan w:val="7"/>
            <w:tcBorders>
              <w:top w:val="single" w:color="000000" w:sz="4"/>
              <w:left w:val="single" w:color="273582" w:sz="6"/>
              <w:bottom w:val="single" w:color="273582" w:sz="6"/>
              <w:right w:val="single" w:color="000000" w:sz="6"/>
            </w:tcBorders>
            <w:shd w:color="273582" w:fill="auto" w:val="clear"/>
            <w:tcMar>
              <w:left w:w="112" w:type="dxa"/>
              <w:right w:w="112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172" w:hanging="172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DZIA</w:t>
            </w:r>
            <w:r>
              <w:rPr>
                <w:rFonts w:ascii="Calibri" w:hAnsi="Calibri" w:cs="Calibri" w:eastAsia="Calibri"/>
                <w:b/>
                <w:caps w:val="true"/>
                <w:color w:val="auto"/>
                <w:spacing w:val="0"/>
                <w:position w:val="0"/>
                <w:sz w:val="20"/>
                <w:shd w:fill="auto" w:val="clear"/>
              </w:rPr>
              <w:t xml:space="preserve">Ł 4. </w:t>
            </w:r>
            <w:r>
              <w:rPr>
                <w:rFonts w:ascii="Calibri" w:hAnsi="Calibri" w:cs="Calibri" w:eastAsia="Calibri"/>
                <w:b/>
                <w:color w:val="FFFFFF"/>
                <w:spacing w:val="0"/>
                <w:position w:val="0"/>
                <w:sz w:val="20"/>
                <w:shd w:fill="auto" w:val="clear"/>
              </w:rPr>
              <w:t xml:space="preserve">PTAKI I SSAKI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273582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22. Budowa ptaków. Przystosowania do lotu</w:t>
            </w:r>
          </w:p>
        </w:tc>
        <w:tc>
          <w:tcPr>
            <w:tcW w:w="2462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środowisk życia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umo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żliwiające zaklasyfikowanie organizmu do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przedstawicieli ptaków 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ód innych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identyfikuje nieznany organizm jako przedstawiciela ptaków na podstawie obecno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charakterystycznych cech tej grupy zwierząt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budow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 rolę pi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óra konturowego</w:t>
            </w:r>
          </w:p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śla, co to jest stałocieplność</w:t>
            </w:r>
          </w:p>
        </w:tc>
        <w:tc>
          <w:tcPr>
            <w:tcW w:w="4449" w:type="dxa"/>
            <w:gridSpan w:val="2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opisuje przystosowania ptaków do lotu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pióro konturowe z puchowym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budowy i funkcji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przestawia charakterystyczne cechy ptaków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stałocieplności w opanowaniu przez ptaki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żnych rejon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kuli ziemskiej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budowy ptaka z przystosowaniem do lotu</w:t>
            </w:r>
          </w:p>
        </w:tc>
      </w:tr>
      <w:tr>
        <w:trPr>
          <w:trHeight w:val="1588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23. Rozmna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żanie się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i rozwój ptaków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typ zapłodnienia i formę rozrodu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odró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żnia gniazdowniki od</w:t>
            </w:r>
          </w:p>
          <w:p>
            <w:pPr>
              <w:spacing w:before="0" w:after="0" w:line="240"/>
              <w:ind w:right="0" w:left="170" w:hanging="17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zagniazdowników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śla, na czym polega jajorodność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elementy budowy jaja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zachowań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okresie godowym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rolę element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budowy jaja w rozwoju zarodka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uzasadnia, dlaczego ptaki zaliczmy do owodniowców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rolę błon płodowych w rozwoju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24. Ró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ptaków i ich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znaczenie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środowisku i dla człowieka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pospolite ptaki w najbli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ższej okolicy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pod wzgl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ędem rozmiar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upierzenia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chronionych w Polsce oraz uzasadnia potrzeb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ochrony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pospolite ptaki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żyjące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działań człowieka wpływających na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między budową dzioba a rodzajem pobieranego pokarmu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przyporz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ądkowuje ptaki do grzebieniowych, bezgrzebieniowych i pingwin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przystosowania ptaków w budowie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do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żnych środowisk i trybu życia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wykazuje, na wybranych przez siebie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ładach,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i jedność ptak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obr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ębie gromady</w:t>
            </w:r>
          </w:p>
        </w:tc>
      </w:tr>
      <w:tr>
        <w:trPr>
          <w:trHeight w:val="1163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25. Ssaki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ogólna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charakterystyka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środowisk życia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cechy w budowie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umożliwiające zakwalifikowanie organizmu do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przedstawicieli ssaków 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ód innych grup zwierz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ąt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identyfikuje nieznany organizm jako przedstawiciela ssaków na podstawie obecno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ści charakterystycznych cech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żne rodzaje zęb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ssaków i 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ich rolę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znaczenie sk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óry i jej wytworów 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życiu ssaka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charakterystyczne cechy ssaków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śnia znaczenie stałocieplności w opanowaniu przez ssaki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żnych rejon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kuli ziemskiej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przystosowania ssaka w budowie do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środowiska lądowego</w:t>
            </w:r>
          </w:p>
        </w:tc>
      </w:tr>
      <w:tr>
        <w:trPr>
          <w:trHeight w:val="306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26. Rozmna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żanie się i rozw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ój ssaków</w:t>
            </w:r>
          </w:p>
        </w:tc>
        <w:tc>
          <w:tcPr>
            <w:tcW w:w="24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wyja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śnia, co to znaczy, że ssaki są żyworodne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podaje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łożyskowych, torbaczy i stekowc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odró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żnia ssaki łożyskowe od stekowc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torbaczy</w:t>
            </w:r>
          </w:p>
        </w:tc>
        <w:tc>
          <w:tcPr>
            <w:tcW w:w="444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przestawia sposób rozmna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żania się i rozw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ój ssaków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łożyskowych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okre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śla rolę łożyska w rozwoju zarodkowym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24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porównuje rozwój zarodkowy ssaków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łożyskowych, stekowc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i torbaczy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273582" w:sz="6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27. Ró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żnorodność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ssaków i ich znaczenie</w:t>
            </w:r>
          </w:p>
        </w:tc>
        <w:tc>
          <w:tcPr>
            <w:tcW w:w="2462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znaczenie ssaków w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środowisku oraz dla człowieka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pospolite ssaki z najbli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ższej okolicy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wymienia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gatunk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ssaków chronionych w Polsce oraz uzasadnia potrzeb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 ich ochrony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rozpoznaje pospolite ssaki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żyjące w Polsce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przedstawia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łady działań człowieka wpływających na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</w:t>
            </w:r>
          </w:p>
        </w:tc>
        <w:tc>
          <w:tcPr>
            <w:tcW w:w="4449" w:type="dxa"/>
            <w:gridSpan w:val="2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 zwi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ązek budowy uzębienia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ze sposobem od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żywiania się i trybem życia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wskazuje przystosowania ssaków w budowie zewn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ętrznej do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żnych środowisk i trybu życia</w:t>
            </w:r>
          </w:p>
        </w:tc>
        <w:tc>
          <w:tcPr>
            <w:tcW w:w="2463" w:type="dxa"/>
            <w:tcBorders>
              <w:top w:val="single" w:color="273582" w:sz="6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b/>
                <w:color w:val="0033FF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wykazuje, na wybranych przyk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ładach, 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żnorodność i jedność ssak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ów w obr</w:t>
            </w: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0"/>
                <w:shd w:fill="auto" w:val="clear"/>
              </w:rPr>
              <w:t xml:space="preserve">ębie gromady</w:t>
            </w:r>
          </w:p>
        </w:tc>
      </w:tr>
      <w:tr>
        <w:trPr>
          <w:trHeight w:val="60" w:hRule="auto"/>
          <w:jc w:val="left"/>
        </w:trPr>
        <w:tc>
          <w:tcPr>
            <w:tcW w:w="1721" w:type="dxa"/>
            <w:tcBorders>
              <w:top w:val="single" w:color="000000" w:sz="4"/>
              <w:left w:val="single" w:color="000000" w:sz="6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28. Posumowanie dzia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łu</w:t>
            </w:r>
          </w:p>
        </w:tc>
        <w:tc>
          <w:tcPr>
            <w:tcW w:w="14300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6"/>
            </w:tcBorders>
            <w:shd w:color="000000" w:fill="ffffff" w:val="clear"/>
            <w:tcMar>
              <w:left w:w="112" w:type="dxa"/>
              <w:right w:w="112" w:type="dxa"/>
            </w:tcMar>
            <w:vAlign w:val="top"/>
          </w:tcPr>
          <w:p>
            <w:pPr>
              <w:spacing w:before="0" w:after="0" w:line="240"/>
              <w:ind w:right="0" w:left="17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•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wszystkie wymagania z lekcji 22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</w:tc>
      </w:tr>
    </w:tbl>
    <w:p>
      <w:pPr>
        <w:tabs>
          <w:tab w:val="left" w:pos="170" w:leader="none"/>
          <w:tab w:val="left" w:pos="340" w:leader="none"/>
          <w:tab w:val="left" w:pos="510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